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7AFF" w:rsidP="00CE7AFF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РЕЗОЛЮТИВНАЯ ЧАСТЬ РЕШЕНИЯ</w:t>
      </w:r>
    </w:p>
    <w:p w:rsidR="00CE7AFF" w:rsidP="00CE7AFF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ИМЕНЕМ РОССИЙСКОЙ ФЕДЕРАЦИИ</w:t>
      </w:r>
    </w:p>
    <w:p w:rsidR="00CE7AFF" w:rsidP="00CE7AFF">
      <w:pPr>
        <w:ind w:firstLine="567"/>
        <w:jc w:val="center"/>
        <w:rPr>
          <w:sz w:val="24"/>
          <w:szCs w:val="24"/>
        </w:rPr>
      </w:pPr>
    </w:p>
    <w:p w:rsidR="00CE7AFF" w:rsidP="00CE7AFF">
      <w:pPr>
        <w:jc w:val="both"/>
        <w:rPr>
          <w:sz w:val="24"/>
          <w:szCs w:val="24"/>
        </w:rPr>
      </w:pPr>
      <w:r>
        <w:rPr>
          <w:sz w:val="24"/>
          <w:szCs w:val="24"/>
        </w:rPr>
        <w:t>г. Ханты-Мансийск                                                                                       11 июня 2024 года</w:t>
      </w:r>
    </w:p>
    <w:p w:rsidR="00CE7AFF" w:rsidP="00CE7AFF">
      <w:pPr>
        <w:ind w:firstLine="567"/>
        <w:jc w:val="both"/>
        <w:rPr>
          <w:sz w:val="24"/>
          <w:szCs w:val="24"/>
        </w:rPr>
      </w:pPr>
    </w:p>
    <w:p w:rsidR="00CE7AFF" w:rsidP="00CE7A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 судебного участка №2 Ханты-Мансийского судебного </w:t>
      </w:r>
      <w:r>
        <w:rPr>
          <w:sz w:val="24"/>
          <w:szCs w:val="24"/>
        </w:rPr>
        <w:t>района  Ханты</w:t>
      </w:r>
      <w:r>
        <w:rPr>
          <w:sz w:val="24"/>
          <w:szCs w:val="24"/>
        </w:rPr>
        <w:t>-Мансийского автономного округа - Югры  Новокшенова О.А.,</w:t>
      </w:r>
    </w:p>
    <w:p w:rsidR="00CE7AFF" w:rsidP="00CE7AFF">
      <w:pPr>
        <w:widowControl/>
        <w:autoSpaceDE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секретаре Захарченко К.А.,</w:t>
      </w:r>
    </w:p>
    <w:p w:rsidR="00CE7AFF" w:rsidP="00CE7AFF">
      <w:pPr>
        <w:widowControl/>
        <w:autoSpaceDE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рассмотрев в открытом судебном заседании гражданское дело № 2-1132-2802/2024 по иску АО «Государственная страховая компания «</w:t>
      </w:r>
      <w:r>
        <w:rPr>
          <w:sz w:val="24"/>
          <w:szCs w:val="24"/>
        </w:rPr>
        <w:t>Югория</w:t>
      </w:r>
      <w:r>
        <w:rPr>
          <w:sz w:val="24"/>
          <w:szCs w:val="24"/>
        </w:rPr>
        <w:t xml:space="preserve">» к Федорову </w:t>
      </w:r>
      <w:r w:rsidR="009053E9">
        <w:t>**</w:t>
      </w:r>
      <w:r w:rsidR="009053E9"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возмещении ущерба  порядке регресса,  </w:t>
      </w:r>
    </w:p>
    <w:p w:rsidR="00CE7AFF" w:rsidP="00CE7AFF">
      <w:pPr>
        <w:widowControl/>
        <w:autoSpaceDE/>
        <w:adjustRightInd/>
        <w:ind w:firstLine="567"/>
        <w:jc w:val="both"/>
        <w:rPr>
          <w:sz w:val="24"/>
          <w:szCs w:val="24"/>
        </w:rPr>
      </w:pPr>
    </w:p>
    <w:p w:rsidR="00CE7AFF" w:rsidP="00CE7AFF">
      <w:pPr>
        <w:ind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>РЕШИЛ</w:t>
      </w:r>
      <w:r>
        <w:rPr>
          <w:sz w:val="24"/>
          <w:szCs w:val="24"/>
        </w:rPr>
        <w:t>:</w:t>
      </w:r>
    </w:p>
    <w:p w:rsidR="00CE7AFF" w:rsidP="00CE7AFF">
      <w:pPr>
        <w:ind w:firstLine="567"/>
        <w:jc w:val="center"/>
        <w:rPr>
          <w:sz w:val="24"/>
          <w:szCs w:val="24"/>
        </w:rPr>
      </w:pPr>
    </w:p>
    <w:p w:rsidR="00CE7AFF" w:rsidP="00CE7AFF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Исковые требования АО «Государственная страховая компания «</w:t>
      </w:r>
      <w:r>
        <w:rPr>
          <w:sz w:val="24"/>
          <w:szCs w:val="24"/>
        </w:rPr>
        <w:t>Югория</w:t>
      </w:r>
      <w:r>
        <w:rPr>
          <w:sz w:val="24"/>
          <w:szCs w:val="24"/>
        </w:rPr>
        <w:t xml:space="preserve">» к Федорову </w:t>
      </w:r>
      <w:r w:rsidR="009053E9">
        <w:t>**</w:t>
      </w:r>
      <w:r w:rsidR="009053E9"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возмещении ущерба  порядке регресса удовлетворить.</w:t>
      </w:r>
    </w:p>
    <w:p w:rsidR="00CE7AFF" w:rsidP="00CE7AFF">
      <w:pPr>
        <w:pStyle w:val="BodyTextIndent3"/>
        <w:ind w:firstLine="0"/>
        <w:rPr>
          <w:szCs w:val="24"/>
        </w:rPr>
      </w:pPr>
      <w:r>
        <w:rPr>
          <w:szCs w:val="24"/>
        </w:rPr>
        <w:t xml:space="preserve">          Взыскать с Федорова </w:t>
      </w:r>
      <w:r w:rsidR="009053E9">
        <w:t xml:space="preserve">***  </w:t>
      </w:r>
      <w:r>
        <w:rPr>
          <w:szCs w:val="24"/>
        </w:rPr>
        <w:t>(в/</w:t>
      </w:r>
      <w:r w:rsidR="009053E9">
        <w:t xml:space="preserve">***  </w:t>
      </w:r>
      <w:r>
        <w:rPr>
          <w:szCs w:val="24"/>
        </w:rPr>
        <w:t>)  в пользу АО «Государственная страховая компания «</w:t>
      </w:r>
      <w:r>
        <w:rPr>
          <w:szCs w:val="24"/>
        </w:rPr>
        <w:t>Югория</w:t>
      </w:r>
      <w:r>
        <w:rPr>
          <w:szCs w:val="24"/>
        </w:rPr>
        <w:t>» 12000 руб. – в счет возмещения ущерба, 480 руб. в счет возмещения расходов по уплате государственной пошлины.</w:t>
      </w:r>
    </w:p>
    <w:p w:rsidR="00CE7AFF" w:rsidP="00CE7AFF">
      <w:pPr>
        <w:pStyle w:val="BodyText2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Решение может быть обжаловано в Ханты-Мансийский районный суд путем подачи жалобы мировому судье в </w:t>
      </w:r>
      <w:r>
        <w:rPr>
          <w:sz w:val="24"/>
          <w:szCs w:val="24"/>
        </w:rPr>
        <w:t>течение  месяца</w:t>
      </w:r>
      <w:r>
        <w:rPr>
          <w:sz w:val="24"/>
          <w:szCs w:val="24"/>
        </w:rPr>
        <w:t xml:space="preserve"> со дня принятия мировым судьей решения.</w:t>
      </w:r>
    </w:p>
    <w:p w:rsidR="00CE7AFF" w:rsidP="00CE7AFF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E7AFF" w:rsidP="00CE7AFF">
      <w:pPr>
        <w:shd w:val="clear" w:color="auto" w:fill="FFFFFF"/>
        <w:spacing w:line="269" w:lineRule="exact"/>
        <w:ind w:right="24"/>
        <w:jc w:val="both"/>
        <w:rPr>
          <w:sz w:val="24"/>
          <w:szCs w:val="24"/>
        </w:rPr>
      </w:pPr>
    </w:p>
    <w:p w:rsidR="00CE7AFF" w:rsidP="00CE7AFF">
      <w:pPr>
        <w:shd w:val="clear" w:color="auto" w:fill="FFFFFF"/>
        <w:spacing w:line="269" w:lineRule="exact"/>
        <w:ind w:right="24"/>
        <w:jc w:val="both"/>
        <w:rPr>
          <w:sz w:val="24"/>
          <w:szCs w:val="24"/>
        </w:rPr>
      </w:pPr>
    </w:p>
    <w:p w:rsidR="00CE7AFF" w:rsidP="00CE7A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  </w:t>
      </w:r>
    </w:p>
    <w:p w:rsidR="00CE7AFF" w:rsidP="00CE7A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судебного участка № 2 </w:t>
      </w:r>
    </w:p>
    <w:p w:rsidR="00CE7AFF" w:rsidP="00CE7AFF">
      <w:pPr>
        <w:jc w:val="both"/>
        <w:rPr>
          <w:sz w:val="24"/>
          <w:szCs w:val="24"/>
        </w:rPr>
      </w:pPr>
      <w:r>
        <w:rPr>
          <w:sz w:val="24"/>
          <w:szCs w:val="24"/>
        </w:rPr>
        <w:t>Ханты-Мансийского</w:t>
      </w:r>
    </w:p>
    <w:p w:rsidR="00CE7AFF" w:rsidP="00CE7A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судебного района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О.А. Новокшенова</w:t>
      </w:r>
    </w:p>
    <w:p w:rsidR="00CE7AFF" w:rsidP="00CE7AFF">
      <w:pPr>
        <w:jc w:val="both"/>
        <w:rPr>
          <w:sz w:val="24"/>
          <w:szCs w:val="24"/>
        </w:rPr>
      </w:pPr>
    </w:p>
    <w:p w:rsidR="00CE7AFF" w:rsidP="00CE7AFF">
      <w:pPr>
        <w:jc w:val="both"/>
        <w:rPr>
          <w:sz w:val="24"/>
          <w:szCs w:val="24"/>
        </w:rPr>
      </w:pPr>
      <w:r>
        <w:rPr>
          <w:sz w:val="24"/>
          <w:szCs w:val="24"/>
        </w:rPr>
        <w:t>Копия верна</w:t>
      </w:r>
    </w:p>
    <w:p w:rsidR="00CE7AFF" w:rsidP="00CE7AFF">
      <w:pPr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                                                                                               О.А. Новокшенова</w:t>
      </w:r>
    </w:p>
    <w:p w:rsidR="00CE7AFF" w:rsidP="00CE7AFF">
      <w:pPr>
        <w:rPr>
          <w:sz w:val="24"/>
          <w:szCs w:val="24"/>
        </w:rPr>
      </w:pPr>
    </w:p>
    <w:p w:rsidR="00CE7AFF" w:rsidP="00CE7AFF">
      <w:pPr>
        <w:rPr>
          <w:sz w:val="24"/>
          <w:szCs w:val="24"/>
        </w:rPr>
      </w:pPr>
    </w:p>
    <w:p w:rsidR="00CE7AFF" w:rsidP="00CE7AFF">
      <w:pPr>
        <w:rPr>
          <w:sz w:val="24"/>
          <w:szCs w:val="24"/>
        </w:rPr>
      </w:pPr>
    </w:p>
    <w:p w:rsidR="00CE7AFF" w:rsidP="00CE7AFF">
      <w:pPr>
        <w:rPr>
          <w:sz w:val="24"/>
          <w:szCs w:val="24"/>
        </w:rPr>
      </w:pPr>
    </w:p>
    <w:p w:rsidR="00CE7AFF" w:rsidP="00CE7AFF">
      <w:pPr>
        <w:rPr>
          <w:sz w:val="24"/>
          <w:szCs w:val="24"/>
        </w:rPr>
      </w:pPr>
    </w:p>
    <w:p w:rsidR="001E420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8B"/>
    <w:rsid w:val="001E4206"/>
    <w:rsid w:val="00760C8B"/>
    <w:rsid w:val="009053E9"/>
    <w:rsid w:val="00CE7A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0BD5C1-F79D-4A08-9217-33653E19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A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CE7AFF"/>
    <w:pPr>
      <w:widowControl/>
      <w:autoSpaceDE/>
      <w:autoSpaceDN/>
      <w:adjustRightInd/>
      <w:jc w:val="center"/>
    </w:pPr>
    <w:rPr>
      <w:sz w:val="28"/>
    </w:rPr>
  </w:style>
  <w:style w:type="character" w:customStyle="1" w:styleId="2">
    <w:name w:val="Основной текст 2 Знак"/>
    <w:basedOn w:val="DefaultParagraphFont"/>
    <w:link w:val="BodyText2"/>
    <w:semiHidden/>
    <w:rsid w:val="00CE7A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CE7AFF"/>
    <w:pPr>
      <w:widowControl/>
      <w:autoSpaceDE/>
      <w:autoSpaceDN/>
      <w:adjustRightInd/>
      <w:ind w:firstLine="720"/>
      <w:jc w:val="both"/>
    </w:pPr>
    <w:rPr>
      <w:sz w:val="24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CE7A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E7A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E7A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